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0ED15" w14:textId="77777777" w:rsidR="00474C79" w:rsidRDefault="00474C79" w:rsidP="00474C79">
      <w:pPr>
        <w:pStyle w:val="Szvegtrzs"/>
        <w:spacing w:before="120" w:after="120" w:line="240" w:lineRule="auto"/>
        <w:jc w:val="center"/>
        <w:rPr>
          <w:b/>
          <w:bCs/>
        </w:rPr>
      </w:pPr>
      <w:r>
        <w:rPr>
          <w:b/>
          <w:bCs/>
        </w:rPr>
        <w:t xml:space="preserve">Budapest Főváros VII. Kerület Erzsébetváros Önkormányzat Képviselő-testületének </w:t>
      </w:r>
    </w:p>
    <w:p w14:paraId="03D3E273" w14:textId="77777777" w:rsidR="00CA3FE0" w:rsidRDefault="00474C79" w:rsidP="00474C79">
      <w:pPr>
        <w:pStyle w:val="Szvegtrzs"/>
        <w:spacing w:before="120" w:after="120" w:line="240" w:lineRule="auto"/>
        <w:jc w:val="center"/>
        <w:rPr>
          <w:b/>
          <w:bCs/>
        </w:rPr>
      </w:pPr>
      <w:r>
        <w:rPr>
          <w:b/>
          <w:bCs/>
        </w:rPr>
        <w:t>.../2025. (...) önkormányzati rendelete</w:t>
      </w:r>
    </w:p>
    <w:p w14:paraId="72A30E02" w14:textId="3E80D933" w:rsidR="00CA3FE0" w:rsidRDefault="00FE0A63" w:rsidP="00FE0A63">
      <w:pPr>
        <w:pStyle w:val="Szvegtrzs"/>
        <w:spacing w:before="240" w:after="480"/>
        <w:jc w:val="center"/>
        <w:rPr>
          <w:b/>
          <w:bCs/>
        </w:rPr>
      </w:pPr>
      <w:r w:rsidRPr="00FE0A63">
        <w:rPr>
          <w:b/>
          <w:bCs/>
        </w:rPr>
        <w:t>a Budapest Főváros VII. kerület Erzsébetváros Önkormányzata Képviselő-testületének</w:t>
      </w:r>
      <w:r>
        <w:rPr>
          <w:b/>
          <w:bCs/>
        </w:rPr>
        <w:t xml:space="preserve"> </w:t>
      </w:r>
      <w:r w:rsidRPr="00FE0A63">
        <w:rPr>
          <w:b/>
          <w:bCs/>
        </w:rPr>
        <w:t>25/2017. (X. 9.) önkormányzati rendelete (Erzsébetváros Településképvédelmi Rendelete) módosításáról</w:t>
      </w:r>
    </w:p>
    <w:p w14:paraId="3CA21201" w14:textId="7ECC87EE" w:rsidR="00CA3FE0" w:rsidRDefault="00FE0A63" w:rsidP="00FE0A63">
      <w:pPr>
        <w:pStyle w:val="Szvegtrzs"/>
        <w:spacing w:after="0" w:line="240" w:lineRule="auto"/>
        <w:jc w:val="both"/>
      </w:pPr>
      <w:r w:rsidRPr="00FE0A63">
        <w:t>Budapest Főváros VII. kerület Erzsébetváros Önkormányzatának Képviselő-testülete az Alaptörvény 32. cikk (1) bekezdés a) pontjában meghatározott jogalkotási hatáskörében, a Magyar Építészetről szóló 2023. évi C. törvény 225. § (8) bekezdésében kapott felhatalmazás alapján, a Magyarország helyi önkormányzatairól szóló 2011. évi CLXXXIX. törvény 23. § (5) bekezdés 5. pontjában és a Magyar Építészetről szóló 2023. évi C. törvény 96. § (1) bekezdésében meghatározott feladatkörében eljárva a következőket rendeli el:</w:t>
      </w:r>
    </w:p>
    <w:p w14:paraId="3D91085D" w14:textId="77777777" w:rsidR="00983222" w:rsidRDefault="00983222">
      <w:pPr>
        <w:pStyle w:val="Szvegtrzs"/>
        <w:spacing w:before="120" w:after="0" w:line="240" w:lineRule="auto"/>
        <w:jc w:val="both"/>
      </w:pPr>
    </w:p>
    <w:p w14:paraId="0CD38484" w14:textId="77777777" w:rsidR="00CA3FE0" w:rsidRDefault="00474C7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47F61B31" w14:textId="77777777" w:rsidR="00FE0A63" w:rsidRDefault="00FE0A63" w:rsidP="00FE0A63">
      <w:pPr>
        <w:pStyle w:val="Szvegtrzs"/>
        <w:jc w:val="both"/>
      </w:pPr>
      <w:r>
        <w:t xml:space="preserve">A 25/2017. (X. 9.) önkormányzati rendelet (a továbbiakban: R.) 3. §-a </w:t>
      </w:r>
      <w:proofErr w:type="spellStart"/>
      <w:r>
        <w:t>a</w:t>
      </w:r>
      <w:proofErr w:type="spellEnd"/>
      <w:r>
        <w:t xml:space="preserve"> következő 28. ponttal egészül ki:</w:t>
      </w:r>
    </w:p>
    <w:p w14:paraId="23E25C2E" w14:textId="477E085B" w:rsidR="00CA3FE0" w:rsidRDefault="00FE0A63" w:rsidP="00FE0A63">
      <w:pPr>
        <w:pStyle w:val="Szvegtrzs"/>
        <w:jc w:val="both"/>
      </w:pPr>
      <w:r>
        <w:t>„28. Közterületi burkolati festés: közterület, közhasználat céljára átadott terület vagy magánút burkolatán – ideértve különösen a járdát, gyalogutat, úttestet, kerékpárutat, parkolófelületet – festéssel, szórással, ragasztással vagy azzal rokon technológiával készített, díszítő, jelölő, figyelemfelhívó, véleménynyilvánító vagy reklámcélú ábra, jel, felirat vagy felület, amely nem minősül a közút kezelője által létesített hatósági útburkolati jelnek, illetve a burkolat helyreállítását szolgáló munkának.”</w:t>
      </w:r>
    </w:p>
    <w:p w14:paraId="43C025CD" w14:textId="77777777" w:rsidR="00983222" w:rsidRDefault="00983222" w:rsidP="00983222">
      <w:pPr>
        <w:pStyle w:val="Szvegtrzs"/>
        <w:spacing w:after="0" w:line="240" w:lineRule="auto"/>
        <w:ind w:left="720"/>
        <w:jc w:val="both"/>
      </w:pPr>
    </w:p>
    <w:p w14:paraId="3DF71186" w14:textId="77777777" w:rsidR="00CA3FE0" w:rsidRDefault="00474C7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48B76D40" w14:textId="77777777" w:rsidR="00FE0A63" w:rsidRDefault="00FE0A63" w:rsidP="00FE0A63">
      <w:pPr>
        <w:pStyle w:val="Szvegtrzs"/>
        <w:jc w:val="both"/>
      </w:pPr>
      <w:r>
        <w:t xml:space="preserve">Az R. 22. §-a </w:t>
      </w:r>
      <w:proofErr w:type="spellStart"/>
      <w:r>
        <w:t>a</w:t>
      </w:r>
      <w:proofErr w:type="spellEnd"/>
      <w:r>
        <w:t xml:space="preserve"> következő (</w:t>
      </w:r>
      <w:proofErr w:type="gramStart"/>
      <w:r>
        <w:t>13)–</w:t>
      </w:r>
      <w:proofErr w:type="gramEnd"/>
      <w:r>
        <w:t>(16) bekezdéssel egészül ki:</w:t>
      </w:r>
    </w:p>
    <w:p w14:paraId="3FE70D89" w14:textId="77777777" w:rsidR="00FE0A63" w:rsidRDefault="00FE0A63" w:rsidP="00FE0A63">
      <w:pPr>
        <w:pStyle w:val="Szvegtrzs"/>
        <w:jc w:val="both"/>
      </w:pPr>
      <w:r>
        <w:t>„(13) Közterületen, közhasználat céljára átadott területen, valamint magánúton közterületi burkolati festés létesítése csak a polgármesterhez címzett településképi bejelentési eljárás alapján, a bejelentés tudomásulvételét tartalmazó döntés birtokában, továbbá az egyéb jogszabályok szerint szükséges út-, közút- és közterület-kezelői, valamint közterület-használati engedélyek megléte esetén végezhető.</w:t>
      </w:r>
    </w:p>
    <w:p w14:paraId="1DFF2015" w14:textId="77777777" w:rsidR="00FE0A63" w:rsidRDefault="00FE0A63" w:rsidP="00FE0A63">
      <w:pPr>
        <w:pStyle w:val="Szvegtrzs"/>
        <w:jc w:val="both"/>
      </w:pPr>
      <w:r>
        <w:t>(14) Településképi szempontból nem engedhető meg olyan közterületi burkolati festés, amely</w:t>
      </w:r>
    </w:p>
    <w:p w14:paraId="5F7E7AE7" w14:textId="77777777" w:rsidR="00FE0A63" w:rsidRDefault="00FE0A63" w:rsidP="00FE0A63">
      <w:pPr>
        <w:pStyle w:val="Szvegtrzs"/>
        <w:jc w:val="both"/>
      </w:pPr>
      <w:r>
        <w:t>a) a kerület Településképi Arculati Kézikönyvében rögzített karakterrel ellentétes,</w:t>
      </w:r>
    </w:p>
    <w:p w14:paraId="123DCF61" w14:textId="77777777" w:rsidR="00FE0A63" w:rsidRDefault="00FE0A63" w:rsidP="00FE0A63">
      <w:pPr>
        <w:pStyle w:val="Szvegtrzs"/>
        <w:jc w:val="both"/>
      </w:pPr>
      <w:r>
        <w:t>b) a közlekedés biztonságát veszélyezteti vagy a burkolati jelek felismerhetőségét rontja,</w:t>
      </w:r>
    </w:p>
    <w:p w14:paraId="68497F72" w14:textId="77777777" w:rsidR="00FE0A63" w:rsidRDefault="00FE0A63" w:rsidP="00FE0A63">
      <w:pPr>
        <w:pStyle w:val="Szvegtrzs"/>
        <w:jc w:val="both"/>
      </w:pPr>
      <w:r>
        <w:t>c) reklámot vagy politikai hirdetést jelenít meg, vagy</w:t>
      </w:r>
    </w:p>
    <w:p w14:paraId="66AB35FE" w14:textId="77777777" w:rsidR="00FE0A63" w:rsidRDefault="00FE0A63" w:rsidP="00FE0A63">
      <w:pPr>
        <w:pStyle w:val="Szvegtrzs"/>
        <w:jc w:val="both"/>
      </w:pPr>
      <w:r>
        <w:t>d) a díszburkolat, illetve a meglévő burkolati jelek tartós takarásával jár.</w:t>
      </w:r>
    </w:p>
    <w:p w14:paraId="51433B99" w14:textId="77777777" w:rsidR="00FE0A63" w:rsidRDefault="00FE0A63" w:rsidP="00FE0A63">
      <w:pPr>
        <w:pStyle w:val="Szvegtrzs"/>
        <w:jc w:val="both"/>
      </w:pPr>
      <w:r>
        <w:lastRenderedPageBreak/>
        <w:t>(15) Jogosulatlanul létesített közterületi burkolati festés esetén a polgármester településképi kötelezési eljárás keretében kötelezi az elhelyezőt, ennek ismeretlen volta esetén az érintett ingatlan tulajdonosát a burkolat eredeti állapotának – költségükre történő – helyreállítására, és a Magyar Építészetről szóló 2023. évi C. törvény 100. §-a alapján településkép-védelmi bírság kiszabását kezdeményezi.</w:t>
      </w:r>
    </w:p>
    <w:p w14:paraId="5383C991" w14:textId="1B522CC2" w:rsidR="00CA3FE0" w:rsidRPr="00983222" w:rsidRDefault="00FE0A63" w:rsidP="00FE0A63">
      <w:pPr>
        <w:pStyle w:val="Szvegtrzs"/>
        <w:jc w:val="both"/>
      </w:pPr>
      <w:r>
        <w:t>(16) Az (</w:t>
      </w:r>
      <w:proofErr w:type="gramStart"/>
      <w:r>
        <w:t>13)–</w:t>
      </w:r>
      <w:proofErr w:type="gramEnd"/>
      <w:r>
        <w:t xml:space="preserve">(15) bekezdés rendelkezéseit alkalmazni kell az e rendeletet módosító …/2025. </w:t>
      </w:r>
      <w:proofErr w:type="gramStart"/>
      <w:r>
        <w:t>(….</w:t>
      </w:r>
      <w:proofErr w:type="gramEnd"/>
      <w:r>
        <w:t>) önkormányzati rendelet hatálybalépésekor már meglévő, a 3. § 28. pontja szerinti közterületi burkolati festésekre is.”</w:t>
      </w:r>
    </w:p>
    <w:p w14:paraId="01D89ACB" w14:textId="77777777" w:rsidR="00CA3FE0" w:rsidRDefault="00474C7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45AFD6D2" w14:textId="77777777" w:rsidR="00FE0A63" w:rsidRDefault="00FE0A63" w:rsidP="00FE0A63">
      <w:pPr>
        <w:pStyle w:val="Szvegtrzs"/>
        <w:jc w:val="both"/>
      </w:pPr>
      <w:r>
        <w:t xml:space="preserve">Az R. 28. §-a </w:t>
      </w:r>
      <w:proofErr w:type="spellStart"/>
      <w:r>
        <w:t>a</w:t>
      </w:r>
      <w:proofErr w:type="spellEnd"/>
      <w:r>
        <w:t xml:space="preserve"> következő (4) bekezdéssel egészül ki:</w:t>
      </w:r>
    </w:p>
    <w:p w14:paraId="226491A9" w14:textId="05D1190C" w:rsidR="00CA3FE0" w:rsidRDefault="00FE0A63" w:rsidP="00FE0A63">
      <w:pPr>
        <w:pStyle w:val="Szvegtrzs"/>
        <w:spacing w:after="0" w:line="240" w:lineRule="auto"/>
        <w:jc w:val="both"/>
      </w:pPr>
      <w:r>
        <w:t>„(4) Településképi bejelentési kötelezettség alá tartozik a közterületi burkolati festés létesítése.”</w:t>
      </w:r>
    </w:p>
    <w:p w14:paraId="0734C58F" w14:textId="77777777" w:rsidR="00CA3FE0" w:rsidRDefault="00474C7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14:paraId="1E4C082A" w14:textId="27864227" w:rsidR="00CA3FE0" w:rsidRDefault="001E0151" w:rsidP="00FE0A63">
      <w:pPr>
        <w:pStyle w:val="Szvegtrzs"/>
        <w:jc w:val="both"/>
      </w:pPr>
      <w:r>
        <w:t xml:space="preserve">(1) </w:t>
      </w:r>
      <w:r>
        <w:t>E rendelet rendelkezéseit a hatálybalépését követően indult településképi bejelentési, illetve településképi kötelezési eljárásokban kell alkalmazni.</w:t>
      </w:r>
    </w:p>
    <w:p w14:paraId="26606BD7" w14:textId="409E0FBA" w:rsidR="00CA3FE0" w:rsidRDefault="001E0151">
      <w:pPr>
        <w:pStyle w:val="Szvegtrzs"/>
        <w:spacing w:after="0" w:line="240" w:lineRule="auto"/>
        <w:jc w:val="both"/>
      </w:pPr>
      <w:r w:rsidRPr="001E0151">
        <w:t>(2)</w:t>
      </w:r>
      <w:r>
        <w:rPr>
          <w:b/>
          <w:bCs/>
        </w:rPr>
        <w:t xml:space="preserve"> </w:t>
      </w:r>
      <w:r w:rsidRPr="001E0151">
        <w:t>Ez a rendelet a kihirdetését követő napon lép hatályba, és a kihirdetését követő második napon hatályát veszti.</w:t>
      </w:r>
    </w:p>
    <w:p w14:paraId="4364F737" w14:textId="77777777" w:rsidR="00474C79" w:rsidRDefault="00474C79" w:rsidP="00474C79">
      <w:pPr>
        <w:pStyle w:val="Szvegtrzs"/>
        <w:spacing w:after="159" w:line="240" w:lineRule="auto"/>
        <w:ind w:left="159" w:right="159"/>
      </w:pPr>
    </w:p>
    <w:p w14:paraId="136CDCF0" w14:textId="77777777" w:rsidR="00474C79" w:rsidRDefault="00474C79" w:rsidP="00474C79">
      <w:pPr>
        <w:pStyle w:val="Szvegtrzs"/>
        <w:spacing w:after="159" w:line="240" w:lineRule="auto"/>
        <w:ind w:left="159" w:right="159"/>
      </w:pPr>
    </w:p>
    <w:p w14:paraId="5264A280" w14:textId="77777777" w:rsidR="00474C79" w:rsidRDefault="00474C79" w:rsidP="00474C79">
      <w:pPr>
        <w:pStyle w:val="Szvegtrzs"/>
        <w:spacing w:after="159" w:line="240" w:lineRule="auto"/>
        <w:ind w:left="159" w:right="159"/>
      </w:pPr>
    </w:p>
    <w:p w14:paraId="79BAF4FE" w14:textId="77777777" w:rsidR="00474C79" w:rsidRPr="00407593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bCs/>
          <w:lang w:eastAsia="hu-HU"/>
        </w:rPr>
      </w:pPr>
      <w:r w:rsidRPr="00407593">
        <w:rPr>
          <w:rFonts w:eastAsia="Times New Roman" w:cs="Times New Roman"/>
          <w:b/>
          <w:bCs/>
          <w:lang w:val="x-none" w:eastAsia="hu-HU"/>
        </w:rPr>
        <w:tab/>
      </w:r>
      <w:r>
        <w:rPr>
          <w:rFonts w:eastAsia="Times New Roman" w:cs="Times New Roman"/>
          <w:b/>
          <w:bCs/>
          <w:lang w:eastAsia="hu-HU"/>
        </w:rPr>
        <w:t xml:space="preserve">Tóth János   </w:t>
      </w:r>
      <w:r w:rsidRPr="00407593">
        <w:rPr>
          <w:rFonts w:eastAsia="Times New Roman" w:cs="Times New Roman"/>
          <w:b/>
          <w:bCs/>
          <w:lang w:val="x-none" w:eastAsia="hu-HU"/>
        </w:rPr>
        <w:tab/>
      </w:r>
      <w:r w:rsidRPr="00407593">
        <w:rPr>
          <w:rFonts w:eastAsia="Times New Roman" w:cs="Times New Roman"/>
          <w:b/>
          <w:bCs/>
          <w:lang w:val="x-none" w:eastAsia="hu-HU"/>
        </w:rPr>
        <w:tab/>
      </w:r>
      <w:r w:rsidRPr="00407593">
        <w:rPr>
          <w:rFonts w:eastAsia="Times New Roman" w:cs="Times New Roman"/>
          <w:b/>
          <w:bCs/>
          <w:lang w:val="x-none" w:eastAsia="hu-HU"/>
        </w:rPr>
        <w:tab/>
      </w:r>
      <w:r w:rsidRPr="00407593">
        <w:rPr>
          <w:rFonts w:eastAsia="Times New Roman" w:cs="Times New Roman"/>
          <w:b/>
          <w:bCs/>
          <w:lang w:val="x-none" w:eastAsia="hu-HU"/>
        </w:rPr>
        <w:tab/>
      </w:r>
      <w:r w:rsidRPr="00407593">
        <w:rPr>
          <w:rFonts w:eastAsia="Times New Roman" w:cs="Times New Roman"/>
          <w:b/>
          <w:bCs/>
          <w:lang w:val="x-none" w:eastAsia="hu-HU"/>
        </w:rPr>
        <w:tab/>
      </w:r>
      <w:r>
        <w:rPr>
          <w:rFonts w:eastAsia="Times New Roman" w:cs="Times New Roman"/>
          <w:b/>
          <w:bCs/>
          <w:lang w:eastAsia="hu-HU"/>
        </w:rPr>
        <w:t xml:space="preserve">                         </w:t>
      </w:r>
      <w:proofErr w:type="spellStart"/>
      <w:r w:rsidRPr="00407593">
        <w:rPr>
          <w:rFonts w:eastAsia="Times New Roman" w:cs="Times New Roman"/>
          <w:b/>
          <w:bCs/>
          <w:lang w:eastAsia="hu-HU"/>
        </w:rPr>
        <w:t>Niedermüller</w:t>
      </w:r>
      <w:proofErr w:type="spellEnd"/>
      <w:r w:rsidRPr="00407593">
        <w:rPr>
          <w:rFonts w:eastAsia="Times New Roman" w:cs="Times New Roman"/>
          <w:b/>
          <w:bCs/>
          <w:lang w:eastAsia="hu-HU"/>
        </w:rPr>
        <w:t xml:space="preserve"> Péter</w:t>
      </w:r>
    </w:p>
    <w:p w14:paraId="1455B514" w14:textId="77777777" w:rsidR="00474C79" w:rsidRPr="00407593" w:rsidRDefault="00474C79" w:rsidP="00474C79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 w:cs="Times New Roman"/>
          <w:lang w:val="x-none" w:eastAsia="hu-HU"/>
        </w:rPr>
      </w:pPr>
      <w:r>
        <w:rPr>
          <w:rFonts w:eastAsia="Times New Roman" w:cs="Times New Roman"/>
          <w:lang w:eastAsia="hu-HU"/>
        </w:rPr>
        <w:t xml:space="preserve">    jegyző</w:t>
      </w:r>
      <w:r w:rsidRPr="00407593">
        <w:rPr>
          <w:rFonts w:eastAsia="Times New Roman" w:cs="Times New Roman"/>
          <w:lang w:val="x-none" w:eastAsia="hu-HU"/>
        </w:rPr>
        <w:tab/>
      </w:r>
      <w:r w:rsidRPr="00407593">
        <w:rPr>
          <w:rFonts w:eastAsia="Times New Roman" w:cs="Times New Roman"/>
          <w:lang w:val="x-none" w:eastAsia="hu-HU"/>
        </w:rPr>
        <w:tab/>
      </w:r>
      <w:r w:rsidRPr="00407593">
        <w:rPr>
          <w:rFonts w:eastAsia="Times New Roman" w:cs="Times New Roman"/>
          <w:lang w:val="x-none" w:eastAsia="hu-HU"/>
        </w:rPr>
        <w:tab/>
      </w:r>
      <w:r w:rsidRPr="00407593">
        <w:rPr>
          <w:rFonts w:eastAsia="Times New Roman" w:cs="Times New Roman"/>
          <w:lang w:val="x-none" w:eastAsia="hu-HU"/>
        </w:rPr>
        <w:tab/>
      </w:r>
      <w:r>
        <w:rPr>
          <w:rFonts w:eastAsia="Times New Roman" w:cs="Times New Roman"/>
          <w:lang w:eastAsia="hu-HU"/>
        </w:rPr>
        <w:t xml:space="preserve">                  </w:t>
      </w:r>
      <w:r w:rsidRPr="00407593">
        <w:rPr>
          <w:rFonts w:eastAsia="Times New Roman" w:cs="Times New Roman"/>
          <w:lang w:eastAsia="hu-HU"/>
        </w:rPr>
        <w:t xml:space="preserve"> </w:t>
      </w:r>
      <w:r>
        <w:rPr>
          <w:rFonts w:eastAsia="Times New Roman" w:cs="Times New Roman"/>
          <w:lang w:eastAsia="hu-HU"/>
        </w:rPr>
        <w:t xml:space="preserve">                       </w:t>
      </w:r>
      <w:r w:rsidRPr="00407593">
        <w:rPr>
          <w:rFonts w:eastAsia="Times New Roman" w:cs="Times New Roman"/>
          <w:lang w:val="x-none" w:eastAsia="hu-HU"/>
        </w:rPr>
        <w:t xml:space="preserve">polgármester </w:t>
      </w:r>
    </w:p>
    <w:p w14:paraId="37107D09" w14:textId="77777777" w:rsidR="00474C79" w:rsidRPr="00407593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lang w:val="x-none" w:eastAsia="hu-HU"/>
        </w:rPr>
      </w:pPr>
    </w:p>
    <w:p w14:paraId="0E9981AA" w14:textId="77777777" w:rsidR="00474C79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lang w:val="x-none" w:eastAsia="hu-HU"/>
        </w:rPr>
      </w:pPr>
    </w:p>
    <w:p w14:paraId="320FFD7F" w14:textId="77777777" w:rsidR="00474C79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lang w:val="x-none" w:eastAsia="hu-HU"/>
        </w:rPr>
      </w:pPr>
    </w:p>
    <w:p w14:paraId="2A7CC775" w14:textId="77777777" w:rsidR="00474C79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lang w:val="x-none" w:eastAsia="hu-HU"/>
        </w:rPr>
      </w:pPr>
    </w:p>
    <w:p w14:paraId="0FFC9093" w14:textId="77777777" w:rsidR="00474C79" w:rsidRPr="00407593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lang w:val="x-none" w:eastAsia="hu-HU"/>
        </w:rPr>
      </w:pPr>
    </w:p>
    <w:p w14:paraId="67430C4D" w14:textId="77777777" w:rsidR="00474C79" w:rsidRPr="00407593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lang w:eastAsia="hu-HU"/>
        </w:rPr>
      </w:pPr>
    </w:p>
    <w:p w14:paraId="123BC8F5" w14:textId="77777777" w:rsidR="00474C79" w:rsidRDefault="00474C79" w:rsidP="00474C79">
      <w:pPr>
        <w:jc w:val="center"/>
        <w:rPr>
          <w:b/>
        </w:rPr>
      </w:pPr>
      <w:r w:rsidRPr="00B465EE">
        <w:rPr>
          <w:b/>
        </w:rPr>
        <w:t>Záradék</w:t>
      </w:r>
    </w:p>
    <w:p w14:paraId="1A991076" w14:textId="77777777" w:rsidR="00474C79" w:rsidRPr="00B465EE" w:rsidRDefault="00474C79" w:rsidP="00474C79">
      <w:pPr>
        <w:jc w:val="center"/>
        <w:rPr>
          <w:b/>
        </w:rPr>
      </w:pPr>
    </w:p>
    <w:p w14:paraId="7D192DD8" w14:textId="77777777" w:rsidR="00474C79" w:rsidRPr="00B465EE" w:rsidRDefault="00474C79" w:rsidP="00474C79">
      <w:pPr>
        <w:jc w:val="both"/>
      </w:pPr>
      <w:r w:rsidRPr="00B465EE">
        <w:t>A rendelet kihirdetése 202</w:t>
      </w:r>
      <w:r>
        <w:t>5</w:t>
      </w:r>
      <w:r w:rsidRPr="00B465EE">
        <w:t>. ………. napján a Szervezeti és Működési Szabályzat szerint a Polgármesteri Hivatal hirdetőtábláján megtörtént.</w:t>
      </w:r>
    </w:p>
    <w:p w14:paraId="4A00B366" w14:textId="77777777" w:rsidR="00474C79" w:rsidRPr="00B465EE" w:rsidRDefault="00474C79" w:rsidP="00474C79">
      <w:pPr>
        <w:jc w:val="both"/>
      </w:pPr>
      <w:r w:rsidRPr="00B465EE">
        <w:t xml:space="preserve">A rendelet közzététel céljából megküldésre került a </w:t>
      </w:r>
      <w:hyperlink r:id="rId7" w:history="1">
        <w:r w:rsidRPr="00B465EE">
          <w:rPr>
            <w:color w:val="0563C1" w:themeColor="hyperlink"/>
            <w:u w:val="single"/>
          </w:rPr>
          <w:t>www.erzsebetvaros.hu</w:t>
        </w:r>
      </w:hyperlink>
      <w:r w:rsidRPr="00B465EE">
        <w:t xml:space="preserve"> honlap szerkesztője részére.</w:t>
      </w:r>
    </w:p>
    <w:p w14:paraId="17EF3A88" w14:textId="77777777" w:rsidR="00474C79" w:rsidRDefault="00474C79" w:rsidP="00474C79">
      <w:pPr>
        <w:jc w:val="both"/>
        <w:outlineLvl w:val="0"/>
      </w:pPr>
    </w:p>
    <w:p w14:paraId="4FA52B27" w14:textId="77777777" w:rsidR="00474C79" w:rsidRPr="00B465EE" w:rsidRDefault="00474C79" w:rsidP="00474C79">
      <w:pPr>
        <w:jc w:val="both"/>
        <w:outlineLvl w:val="0"/>
      </w:pPr>
    </w:p>
    <w:p w14:paraId="0E755668" w14:textId="77777777" w:rsidR="00474C79" w:rsidRDefault="00474C79" w:rsidP="00474C79">
      <w:pPr>
        <w:widowControl w:val="0"/>
        <w:autoSpaceDE w:val="0"/>
        <w:autoSpaceDN w:val="0"/>
        <w:adjustRightInd w:val="0"/>
        <w:ind w:left="5664" w:firstLine="708"/>
        <w:jc w:val="center"/>
        <w:rPr>
          <w:rFonts w:eastAsia="Times New Roman" w:cs="Times New Roman"/>
          <w:b/>
          <w:bCs/>
          <w:lang w:eastAsia="hu-HU"/>
        </w:rPr>
      </w:pPr>
      <w:r>
        <w:rPr>
          <w:rFonts w:eastAsia="Times New Roman" w:cs="Times New Roman"/>
          <w:b/>
          <w:bCs/>
          <w:lang w:eastAsia="hu-HU"/>
        </w:rPr>
        <w:t xml:space="preserve">Tóth János   </w:t>
      </w:r>
    </w:p>
    <w:p w14:paraId="46808216" w14:textId="77777777" w:rsidR="00474C79" w:rsidRPr="00F66596" w:rsidRDefault="00474C79" w:rsidP="00474C79">
      <w:pPr>
        <w:widowControl w:val="0"/>
        <w:autoSpaceDE w:val="0"/>
        <w:autoSpaceDN w:val="0"/>
        <w:adjustRightInd w:val="0"/>
        <w:ind w:left="5664" w:firstLine="708"/>
        <w:jc w:val="center"/>
        <w:rPr>
          <w:rFonts w:eastAsia="Times New Roman" w:cs="Times New Roman"/>
          <w:lang w:eastAsia="hu-HU"/>
        </w:rPr>
      </w:pPr>
      <w:r w:rsidRPr="00AB3BCA">
        <w:rPr>
          <w:rFonts w:eastAsia="Times New Roman" w:cs="Times New Roman"/>
          <w:bCs/>
          <w:lang w:eastAsia="hu-HU"/>
        </w:rPr>
        <w:t>jegyző</w:t>
      </w:r>
      <w:r w:rsidRPr="00F66596" w:rsidDel="0065116D">
        <w:t xml:space="preserve"> </w:t>
      </w:r>
    </w:p>
    <w:p w14:paraId="4B0B6992" w14:textId="77777777" w:rsidR="00474C79" w:rsidRDefault="00474C79" w:rsidP="00474C79">
      <w:pPr>
        <w:pStyle w:val="Szvegtrzs"/>
        <w:spacing w:after="159" w:line="240" w:lineRule="auto"/>
        <w:ind w:left="159" w:right="159"/>
      </w:pPr>
    </w:p>
    <w:p w14:paraId="0FDDEF3E" w14:textId="77777777" w:rsidR="00474C79" w:rsidRDefault="00474C79">
      <w:pPr>
        <w:pStyle w:val="Szvegtrzs"/>
        <w:spacing w:after="159" w:line="240" w:lineRule="auto"/>
        <w:ind w:left="159" w:right="159"/>
        <w:jc w:val="center"/>
      </w:pPr>
    </w:p>
    <w:p w14:paraId="502FD1E6" w14:textId="77777777" w:rsidR="00CA3FE0" w:rsidRPr="00474C79" w:rsidRDefault="00474C79">
      <w:pPr>
        <w:pStyle w:val="Szvegtrzs"/>
        <w:spacing w:after="159" w:line="240" w:lineRule="auto"/>
        <w:ind w:left="159" w:right="159"/>
        <w:jc w:val="center"/>
        <w:rPr>
          <w:b/>
        </w:rPr>
      </w:pPr>
      <w:r w:rsidRPr="00474C79">
        <w:rPr>
          <w:b/>
        </w:rPr>
        <w:t xml:space="preserve">Általános indokolás </w:t>
      </w:r>
    </w:p>
    <w:p w14:paraId="53D121E1" w14:textId="77777777" w:rsidR="001E0151" w:rsidRDefault="001E0151" w:rsidP="001E0151">
      <w:pPr>
        <w:pStyle w:val="Szvegtrzs"/>
        <w:jc w:val="both"/>
      </w:pPr>
      <w:r>
        <w:lastRenderedPageBreak/>
        <w:t xml:space="preserve">A rendelet Erzsébetváros Településképvédelmi Rendeletét egészíti ki annak érdekében, hogy a közterületi burkolatok (járdák, utak) önkényes kifestése – amely egyre gyakrabban jelenik meg a kerületben – ne maradjon szabályozatlanul. A jelenlegi szabályozás részletesen tartalmaz előírásokat a közterületi megjelenés számos elemére, ugyanakkor nem nevesíti kifejezetten a burkolat </w:t>
      </w:r>
      <w:proofErr w:type="gramStart"/>
      <w:r>
        <w:t>festését</w:t>
      </w:r>
      <w:proofErr w:type="gramEnd"/>
      <w:r>
        <w:t xml:space="preserve"> mint településképi beavatkozást.</w:t>
      </w:r>
    </w:p>
    <w:p w14:paraId="55943D1E" w14:textId="190DA954" w:rsidR="00CA3FE0" w:rsidRDefault="001E0151" w:rsidP="001E0151">
      <w:pPr>
        <w:pStyle w:val="Szvegtrzs"/>
        <w:jc w:val="both"/>
      </w:pPr>
      <w:r>
        <w:t>A módosítás egyrészt fogalmilag meghatározza a „közterületi burkolati festés” körét, másrészt egyértelművé teszi az engedélykötelezettséget (településképi bejelentés, út- és közterület-kezelői hozzájárulás), valamint a településképi és közlekedésbiztonsági szempontok érvényesítését. A jogosulatlan festések esetére a rendelet megteremti a településképi kötelezés és a településkép-védelmi bírság alkalmazásának egyértelmű jogalapját, és kifejezetten kiterjeszti a szabályokat a már meglévő felfestésekre is.</w:t>
      </w:r>
    </w:p>
    <w:p w14:paraId="32F99C90" w14:textId="77777777" w:rsidR="00CA3FE0" w:rsidRDefault="00CA3FE0">
      <w:pPr>
        <w:pStyle w:val="Szvegtrzs"/>
        <w:spacing w:line="240" w:lineRule="auto"/>
        <w:jc w:val="center"/>
      </w:pPr>
    </w:p>
    <w:p w14:paraId="2CF81309" w14:textId="77777777"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Részletes indokolás</w:t>
      </w:r>
    </w:p>
    <w:p w14:paraId="43FF0820" w14:textId="77777777"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29E794E2" w14:textId="5D902CA9" w:rsidR="00CA3FE0" w:rsidRDefault="001E0151">
      <w:pPr>
        <w:pStyle w:val="Szvegtrzs"/>
        <w:spacing w:line="240" w:lineRule="auto"/>
        <w:jc w:val="both"/>
      </w:pPr>
      <w:r w:rsidRPr="001E0151">
        <w:t>A 3. § új 28. pontja fogalmi szinten meghatározza a közterületi burkolati festést, elkülönítve azt a hatósági útburkolati jelektől és a burkolat-helyreállítási munkáktól.</w:t>
      </w:r>
    </w:p>
    <w:p w14:paraId="3447731A" w14:textId="77777777" w:rsidR="00CA3FE0" w:rsidRDefault="00CA3FE0">
      <w:pPr>
        <w:pStyle w:val="Szvegtrzs"/>
        <w:spacing w:line="240" w:lineRule="auto"/>
        <w:jc w:val="both"/>
      </w:pPr>
    </w:p>
    <w:p w14:paraId="34176D7C" w14:textId="77777777"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2.§</w:t>
      </w:r>
    </w:p>
    <w:p w14:paraId="22DCF762" w14:textId="1807F5BF" w:rsidR="00CA3FE0" w:rsidRDefault="001E0151">
      <w:pPr>
        <w:pStyle w:val="Szvegtrzs"/>
        <w:spacing w:line="240" w:lineRule="auto"/>
        <w:jc w:val="both"/>
      </w:pPr>
      <w:r w:rsidRPr="001E0151">
        <w:t>A 22. § új (</w:t>
      </w:r>
      <w:proofErr w:type="gramStart"/>
      <w:r w:rsidRPr="001E0151">
        <w:t>13)–</w:t>
      </w:r>
      <w:proofErr w:type="gramEnd"/>
      <w:r w:rsidRPr="001E0151">
        <w:t>(16) bekezdései a közterületi burkolati festés településképi feltételeit, engedélykötelezettségét és jogkövetkezményeit rögzítik, beleértve a településképi kötelezés és a településkép-védelmi bírság alkalmazhatóságát, valamint azt, hogy a szabályozás a már meglévő festésekre is kiterjed.</w:t>
      </w:r>
    </w:p>
    <w:p w14:paraId="120B2FEA" w14:textId="77777777"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5239EF29" w14:textId="5F556C0C" w:rsidR="00CA3FE0" w:rsidRDefault="001E0151">
      <w:pPr>
        <w:pStyle w:val="Szvegtrzs"/>
        <w:spacing w:line="240" w:lineRule="auto"/>
        <w:jc w:val="both"/>
      </w:pPr>
      <w:r w:rsidRPr="001E0151">
        <w:t>A 28. § (4) bekezdése kifejezetten a településképi bejelentési kötelezettség körébe vonja a közterületi burkolati festéseket.</w:t>
      </w:r>
    </w:p>
    <w:p w14:paraId="1398D8DB" w14:textId="77777777" w:rsidR="00CA3FE0" w:rsidRDefault="00CA3FE0">
      <w:pPr>
        <w:pStyle w:val="Szvegtrzs"/>
        <w:spacing w:line="240" w:lineRule="auto"/>
        <w:jc w:val="both"/>
      </w:pPr>
    </w:p>
    <w:p w14:paraId="69C3FEAE" w14:textId="77777777"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4.§</w:t>
      </w:r>
    </w:p>
    <w:p w14:paraId="1F0E5119" w14:textId="18FA22C5" w:rsidR="00CA3FE0" w:rsidRDefault="001E0151">
      <w:pPr>
        <w:pStyle w:val="Szvegtrzs"/>
        <w:spacing w:line="240" w:lineRule="auto"/>
        <w:jc w:val="both"/>
      </w:pPr>
      <w:r w:rsidRPr="001E0151">
        <w:t>A hatálybaléptető rendelkezés a rendelet alkalmazhatóságának időbeli kereteit határozza meg.</w:t>
      </w:r>
    </w:p>
    <w:p w14:paraId="0349F78A" w14:textId="77777777" w:rsidR="00CA3FE0" w:rsidRDefault="00CA3FE0">
      <w:pPr>
        <w:pStyle w:val="Szvegtrzs"/>
        <w:spacing w:line="240" w:lineRule="auto"/>
        <w:jc w:val="both"/>
      </w:pPr>
    </w:p>
    <w:p w14:paraId="55A93237" w14:textId="1BC12756" w:rsidR="00CA3FE0" w:rsidRDefault="00CA3FE0">
      <w:pPr>
        <w:pStyle w:val="Szvegtrzs"/>
        <w:spacing w:line="240" w:lineRule="auto"/>
        <w:jc w:val="both"/>
      </w:pPr>
    </w:p>
    <w:sectPr w:rsidR="00CA3FE0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4AF5F" w14:textId="77777777" w:rsidR="00F214C2" w:rsidRDefault="00F214C2">
      <w:r>
        <w:separator/>
      </w:r>
    </w:p>
  </w:endnote>
  <w:endnote w:type="continuationSeparator" w:id="0">
    <w:p w14:paraId="741A84C0" w14:textId="77777777" w:rsidR="00F214C2" w:rsidRDefault="00F21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B0604020202020204"/>
    <w:charset w:val="01"/>
    <w:family w:val="roman"/>
    <w:pitch w:val="variable"/>
  </w:font>
  <w:font w:name="Noto Sans CJK SC Regular">
    <w:altName w:val="Times New Roman"/>
    <w:panose1 w:val="020B0604020202020204"/>
    <w:charset w:val="00"/>
    <w:family w:val="roman"/>
    <w:notTrueType/>
    <w:pitch w:val="default"/>
  </w:font>
  <w:font w:name="FreeSans">
    <w:altName w:val="Times New Roman"/>
    <w:panose1 w:val="020B0604020202020204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OpenSymbol">
    <w:altName w:val="Arial Unicode MS"/>
    <w:panose1 w:val="020B0604020202020204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D1787" w14:textId="77777777" w:rsidR="00CA3FE0" w:rsidRDefault="00474C79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0631D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9EA3D" w14:textId="77777777" w:rsidR="00F214C2" w:rsidRDefault="00F214C2">
      <w:r>
        <w:separator/>
      </w:r>
    </w:p>
  </w:footnote>
  <w:footnote w:type="continuationSeparator" w:id="0">
    <w:p w14:paraId="366B79CE" w14:textId="77777777" w:rsidR="00F214C2" w:rsidRDefault="00F21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47228"/>
    <w:multiLevelType w:val="hybridMultilevel"/>
    <w:tmpl w:val="91F0260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D4514"/>
    <w:multiLevelType w:val="multilevel"/>
    <w:tmpl w:val="CC0ED078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68F3637"/>
    <w:multiLevelType w:val="hybridMultilevel"/>
    <w:tmpl w:val="540A7E0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4125781">
    <w:abstractNumId w:val="1"/>
  </w:num>
  <w:num w:numId="2" w16cid:durableId="1508982267">
    <w:abstractNumId w:val="0"/>
  </w:num>
  <w:num w:numId="3" w16cid:durableId="1391529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doNotDisplayPageBoundaries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FE0"/>
    <w:rsid w:val="000631D8"/>
    <w:rsid w:val="001E0151"/>
    <w:rsid w:val="00403575"/>
    <w:rsid w:val="00474C79"/>
    <w:rsid w:val="00521D98"/>
    <w:rsid w:val="006572A1"/>
    <w:rsid w:val="00983222"/>
    <w:rsid w:val="009F5166"/>
    <w:rsid w:val="00CA3FE0"/>
    <w:rsid w:val="00ED5D46"/>
    <w:rsid w:val="00F16A34"/>
    <w:rsid w:val="00F214C2"/>
    <w:rsid w:val="00FE0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A37FE"/>
  <w15:docId w15:val="{9DE0B4BF-64B1-4093-BB32-DA8EA9B7C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35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2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1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8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4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7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erzsebetvaros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698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Szalontainé Lázár Krisztina</dc:creator>
  <dc:description/>
  <cp:lastModifiedBy>Molnár Dominik</cp:lastModifiedBy>
  <cp:revision>15</cp:revision>
  <dcterms:created xsi:type="dcterms:W3CDTF">2025-11-11T07:41:00Z</dcterms:created>
  <dcterms:modified xsi:type="dcterms:W3CDTF">2025-12-08T10:17:00Z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