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58A49" w14:textId="77777777" w:rsidR="00113AAB" w:rsidRPr="008B6E41" w:rsidRDefault="00113AAB" w:rsidP="00113AA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Budapest Főváros VII. kerület Erzsébetváros Önkormányzata </w:t>
      </w:r>
      <w:proofErr w:type="gramStart"/>
      <w:r w:rsidRPr="008B6E4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Képviselő-testületének …</w:t>
      </w:r>
      <w:proofErr w:type="gramEnd"/>
      <w:r w:rsidRPr="008B6E4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/2025. (…) önkormányzati rendelete</w:t>
      </w:r>
    </w:p>
    <w:p w14:paraId="69A6E7F0" w14:textId="77777777" w:rsidR="00113AAB" w:rsidRPr="008B6E41" w:rsidRDefault="00113AAB" w:rsidP="00113AA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</w:pPr>
      <w:proofErr w:type="gramStart"/>
      <w:r w:rsidRPr="008B6E4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a</w:t>
      </w:r>
      <w:proofErr w:type="gramEnd"/>
      <w:r w:rsidRPr="008B6E41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 közösségi együttélés alapvető szabályairól és ezek elmulasztásának jogkövetkezményeiről szóló 2/2013. (I.25.) önkormányzati rendelet módosításáról</w:t>
      </w:r>
    </w:p>
    <w:p w14:paraId="431CBEB9" w14:textId="77777777" w:rsidR="00113AAB" w:rsidRPr="008B6E41" w:rsidRDefault="00113AAB" w:rsidP="00113AAB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0CDA58F" w14:textId="77777777" w:rsidR="00113AAB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[1] </w:t>
      </w:r>
      <w:r w:rsidRPr="00336B19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módosítani kívánja a közösségi együttélés szabályairól szóló önkormányzati rendeletét azzal a céllal, hogy a közterületen, vagy az onnan látható helyre felszerelt kulcsszéfek eltávolításra kerüljenek. </w:t>
      </w:r>
    </w:p>
    <w:p w14:paraId="2C553D6F" w14:textId="77777777" w:rsidR="00113AAB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2A709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[2] </w:t>
      </w: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Budapest Főváros VII. kerület Erzsébetváros Önkormányzatának Képviselő-testülete az Alaptörvény 32. cikk (1) bekezdés a) pontjában és (2) bekezdésében, valamint a Magyarország helyi önkormányzatairól szóló 2011. évi CLXXXIX. törvény (továbbiakban: </w:t>
      </w:r>
      <w:proofErr w:type="spellStart"/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Mötv</w:t>
      </w:r>
      <w:proofErr w:type="spellEnd"/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.) 8. § (1) bekezdés b) pontjában meghatározott feladatkörében eljárva, a 143. § (4) bekezdés d) pontjában kapott felhatalmazás alapján a következőket rendeli el:</w:t>
      </w:r>
    </w:p>
    <w:p w14:paraId="156EEAB3" w14:textId="77777777" w:rsidR="00113AAB" w:rsidRPr="008B6E41" w:rsidRDefault="00113AAB" w:rsidP="00113AAB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B2E941E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1. §</w:t>
      </w:r>
    </w:p>
    <w:p w14:paraId="24F51A7E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A061436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közösségi együttélés alapvető szabályairól szóló 2/2013. (I.25.) önkormányzati rendelet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(a továbbiakban: Rendelet) </w:t>
      </w: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a következő 1. § (3) bekezdéssel egészül ki:</w:t>
      </w:r>
    </w:p>
    <w:p w14:paraId="06423D8D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6400D36" w14:textId="77777777" w:rsidR="00113AAB" w:rsidRPr="008B6E41" w:rsidRDefault="00113AAB" w:rsidP="00113AA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"(3) E rendelet alkalmazásában a kulcsszéf: olyan zárható biztonsági tárolóeszköz, amely a zárt térbe történő bejutáshoz szükséges fizikai vagy digitális kulcs, belépőkód tárolására alkalmas.”</w:t>
      </w:r>
    </w:p>
    <w:p w14:paraId="524792EE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EDC84C9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2. §</w:t>
      </w:r>
    </w:p>
    <w:p w14:paraId="0CDEE213" w14:textId="77777777" w:rsidR="00113AAB" w:rsidRPr="008B6E41" w:rsidRDefault="00113AAB" w:rsidP="00113AAB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D939837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Rendelet</w:t>
      </w: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 következő 7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/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§-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s</w:t>
      </w: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</w:t>
      </w:r>
      <w:proofErr w:type="spellEnd"/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egészül ki:</w:t>
      </w:r>
    </w:p>
    <w:p w14:paraId="0243615B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DFA9EB2" w14:textId="77777777" w:rsidR="00113AAB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˝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7/A.§ </w:t>
      </w:r>
    </w:p>
    <w:p w14:paraId="42A70D2D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A szálláshely szolgáltatás szabályai</w:t>
      </w:r>
    </w:p>
    <w:p w14:paraId="1DB14128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41D4BC9" w14:textId="77777777" w:rsidR="00113AAB" w:rsidRPr="008B6E41" w:rsidRDefault="00113AAB" w:rsidP="00113AA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A közösségi együttélés szabályaival ellentétes magatartást követ el az a természetes-, vagy jogi személy, jogi személyiséggel nem rendelkező szervezet, vagy </w:t>
      </w:r>
      <w:proofErr w:type="gramStart"/>
      <w:r w:rsidRPr="008B6E4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társasház</w:t>
      </w:r>
      <w:proofErr w:type="gramEnd"/>
      <w:r w:rsidRPr="008B6E4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amely</w:t>
      </w:r>
      <w:r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r w:rsidRPr="008B6E4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épület bármely közterülethez csatlakozó részén (pl. homlokzatán, kerítésén, biztonsági rácsain, külső kapualjában) kulcsszéf elhelyezésére engedélyt ad, azt helyez el, vagy azt működtet és felszólítás ellenére azt nem távolítja el.˝</w:t>
      </w:r>
    </w:p>
    <w:p w14:paraId="62F136F5" w14:textId="77777777" w:rsidR="00113AAB" w:rsidRPr="008B6E41" w:rsidRDefault="00113AAB" w:rsidP="00113AA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5AD64625" w14:textId="77777777" w:rsidR="00113AAB" w:rsidRPr="008B6E41" w:rsidRDefault="00113AAB" w:rsidP="00113AAB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694DDDEB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3. §</w:t>
      </w:r>
    </w:p>
    <w:p w14:paraId="6B477076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EB254E1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Ez a rendelet 2026. január 2-án lép hatályba, és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2026. január 4-én </w:t>
      </w:r>
      <w:r w:rsidRPr="008B6E41">
        <w:rPr>
          <w:rFonts w:ascii="Times New Roman" w:hAnsi="Times New Roman" w:cs="Times New Roman"/>
          <w:kern w:val="0"/>
          <w:sz w:val="24"/>
          <w:szCs w:val="24"/>
          <w14:ligatures w14:val="none"/>
        </w:rPr>
        <w:t>hatályát veszti.</w:t>
      </w:r>
    </w:p>
    <w:p w14:paraId="0A6F18E1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31A1ABF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B80F543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4E106A" w14:textId="77777777" w:rsidR="00113AAB" w:rsidRPr="008B6E41" w:rsidRDefault="00113AAB" w:rsidP="00113AA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              Tóth János</w:t>
      </w: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proofErr w:type="spellStart"/>
      <w:r w:rsidRPr="008B6E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>Niedermüller</w:t>
      </w:r>
      <w:proofErr w:type="spellEnd"/>
      <w:r w:rsidRPr="008B6E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 xml:space="preserve"> Péter</w:t>
      </w:r>
    </w:p>
    <w:p w14:paraId="56D87CC3" w14:textId="77777777" w:rsidR="00113AAB" w:rsidRPr="008B6E41" w:rsidRDefault="00113AAB" w:rsidP="00113AA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</w:t>
      </w:r>
      <w:proofErr w:type="gramStart"/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8B6E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ab/>
        <w:t>polgármester</w:t>
      </w:r>
    </w:p>
    <w:p w14:paraId="4A371EE7" w14:textId="77777777" w:rsidR="00113AAB" w:rsidRPr="008B6E41" w:rsidRDefault="00113AAB" w:rsidP="00113AA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3FA96A7F" w14:textId="77777777" w:rsidR="00113AAB" w:rsidRPr="008B6E41" w:rsidRDefault="00113AAB" w:rsidP="00113AAB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61675729" w14:textId="77777777" w:rsidR="00113AAB" w:rsidRPr="008B6E41" w:rsidRDefault="00113AAB" w:rsidP="00113AAB">
      <w:pP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br w:type="page"/>
      </w:r>
    </w:p>
    <w:p w14:paraId="5487B59B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lastRenderedPageBreak/>
        <w:t>Záradék</w:t>
      </w:r>
    </w:p>
    <w:p w14:paraId="754EE2DB" w14:textId="77777777" w:rsidR="00113AAB" w:rsidRPr="008B6E41" w:rsidRDefault="00113AAB" w:rsidP="00113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14:paraId="6E61ECCF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rendelet kihirdetése 2025.</w:t>
      </w:r>
      <w:proofErr w:type="gramStart"/>
      <w:r w:rsidRPr="008B6E4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……….….</w:t>
      </w:r>
      <w:proofErr w:type="gramEnd"/>
      <w:r w:rsidRPr="008B6E4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napján a Szervezeti és Működési Szabályzat szerint a Polgármesteri Hivatal hirdetőtábláján megtörtént.</w:t>
      </w:r>
    </w:p>
    <w:p w14:paraId="3DC6A7C7" w14:textId="77777777" w:rsidR="00113AAB" w:rsidRPr="008B6E41" w:rsidRDefault="00113AAB" w:rsidP="00113A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közzététel céljából megküldésre került a </w:t>
      </w:r>
      <w:hyperlink r:id="rId4" w:history="1">
        <w:r w:rsidRPr="008B6E41">
          <w:rPr>
            <w:rFonts w:ascii="Times New Roman" w:eastAsia="Times New Roman" w:hAnsi="Times New Roman" w:cs="Times New Roman"/>
            <w:kern w:val="0"/>
            <w:sz w:val="24"/>
            <w:szCs w:val="24"/>
            <w:u w:val="single"/>
            <w:lang w:eastAsia="hu-HU"/>
            <w14:ligatures w14:val="none"/>
          </w:rPr>
          <w:t>www.erzsebetvaros.hu</w:t>
        </w:r>
      </w:hyperlink>
      <w:r w:rsidRPr="008B6E4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honlap szerkesztője részére.</w:t>
      </w:r>
    </w:p>
    <w:p w14:paraId="091F4A66" w14:textId="77777777" w:rsidR="00113AAB" w:rsidRPr="008B6E41" w:rsidRDefault="00113AAB" w:rsidP="00113A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075DB03" w14:textId="77777777" w:rsidR="00113AAB" w:rsidRPr="008B6E41" w:rsidRDefault="00113AAB" w:rsidP="00113A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45FBF29" w14:textId="77777777" w:rsidR="00113AAB" w:rsidRPr="008B6E41" w:rsidRDefault="00113AAB" w:rsidP="00113AA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Tóth János</w:t>
      </w:r>
    </w:p>
    <w:p w14:paraId="38353CCB" w14:textId="77777777" w:rsidR="00113AAB" w:rsidRPr="008B6E41" w:rsidRDefault="00113AAB" w:rsidP="00113AA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  <w:t xml:space="preserve">    </w:t>
      </w:r>
      <w:proofErr w:type="gramStart"/>
      <w:r w:rsidRPr="008B6E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</w:p>
    <w:p w14:paraId="6D6A1AB9" w14:textId="77777777" w:rsidR="00113AAB" w:rsidRPr="008B6E41" w:rsidRDefault="00113AAB" w:rsidP="00113AAB">
      <w:pPr>
        <w:spacing w:after="200" w:line="276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A902964" w14:textId="77777777" w:rsidR="00113AAB" w:rsidRPr="008B6E41" w:rsidRDefault="00113AAB" w:rsidP="00113AAB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790904F" w14:textId="77777777" w:rsidR="00113AAB" w:rsidRPr="00F84400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14:paraId="6FFCFC44" w14:textId="77777777" w:rsidR="00113AAB" w:rsidRPr="00F84400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766A72D" w14:textId="77777777" w:rsidR="00113AAB" w:rsidRDefault="00113AAB" w:rsidP="00113AA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5CB">
        <w:rPr>
          <w:rFonts w:ascii="Times New Roman" w:hAnsi="Times New Roman"/>
          <w:sz w:val="24"/>
          <w:szCs w:val="24"/>
        </w:rPr>
        <w:t>A rendeletmódosítás célja Erzsébetváros közbiztonságának és közterületi rendezettségének javítása. A közterületről jól látható kulcsszéfek – különösen az épületek homlokzatán, kapualjakban és kerítéseken elhelyezettek – a betörési kísérletek egyik fő eszközévé váltak, miközben városképi szempontból is zavaró hatást gyakorolnak. A szabályozás célja, hogy a közösségi együttélés alapvető szabályai közé bekerüljenek a kulcsszéfek elhelyezésére és eltávolítására vonatkozó előírások, amelyek megszegése szankcionálhatóvá válik.</w:t>
      </w:r>
    </w:p>
    <w:p w14:paraId="18284789" w14:textId="77777777" w:rsidR="00113AA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C4D129B" w14:textId="77777777" w:rsidR="00113AAB" w:rsidRPr="00F84400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14:paraId="13CFBB39" w14:textId="77777777" w:rsidR="00113AA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234E374D" w14:textId="77777777" w:rsidR="00113AAB" w:rsidRPr="005F25C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módosítás bevezeti a „kulcsszéf” fogalmát a rendelet által alkalmazott </w:t>
      </w:r>
      <w:proofErr w:type="gramStart"/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definíciók</w:t>
      </w:r>
      <w:proofErr w:type="gramEnd"/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közé.</w:t>
      </w:r>
    </w:p>
    <w:p w14:paraId="0AAC444A" w14:textId="77777777" w:rsidR="00113AAB" w:rsidRPr="005F25C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DC49105" w14:textId="77777777" w:rsidR="00113AA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F25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  <w:r w:rsidRPr="005F25C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Meghatározza, hogy a kulcsszéfek közterületről látható elhelyezése, valamint a felszólítás utáni el nem távolítása a közösségi együttélés szabályaival ellentétes magatartásnak minősül.</w:t>
      </w:r>
    </w:p>
    <w:p w14:paraId="48FC20E4" w14:textId="77777777" w:rsidR="00113AAB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B86ADE3" w14:textId="77777777" w:rsidR="00113AAB" w:rsidRPr="00F84400" w:rsidRDefault="00113AAB" w:rsidP="00113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rendelkezések.</w:t>
      </w:r>
    </w:p>
    <w:p w14:paraId="48C995E3" w14:textId="77777777" w:rsidR="00113AAB" w:rsidRDefault="00113AAB" w:rsidP="00113AAB"/>
    <w:p w14:paraId="7BD5739C" w14:textId="77777777" w:rsidR="00BF0F38" w:rsidRPr="00113AAB" w:rsidRDefault="00BF0F38" w:rsidP="00113AAB">
      <w:bookmarkStart w:id="0" w:name="_GoBack"/>
      <w:bookmarkEnd w:id="0"/>
    </w:p>
    <w:sectPr w:rsidR="00BF0F38" w:rsidRPr="00113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E41"/>
    <w:rsid w:val="00113AAB"/>
    <w:rsid w:val="00150B30"/>
    <w:rsid w:val="004B24EA"/>
    <w:rsid w:val="00621F7B"/>
    <w:rsid w:val="008957DE"/>
    <w:rsid w:val="008B6E41"/>
    <w:rsid w:val="00BF0F38"/>
    <w:rsid w:val="00E47B34"/>
    <w:rsid w:val="00E7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B7FE"/>
  <w15:chartTrackingRefBased/>
  <w15:docId w15:val="{C5951FD2-2152-4A0D-87DE-1717D6E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B6E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B6E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B6E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B6E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B6E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B6E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B6E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B6E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B6E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B6E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B6E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B6E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B6E4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B6E4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B6E4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B6E4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B6E4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B6E4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B6E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B6E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B6E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B6E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B6E4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B6E4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B6E4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B6E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B6E4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B6E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411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Bajkai</dc:creator>
  <cp:keywords/>
  <dc:description/>
  <cp:lastModifiedBy>Bodzsár Tímea</cp:lastModifiedBy>
  <cp:revision>12</cp:revision>
  <dcterms:created xsi:type="dcterms:W3CDTF">2025-04-14T08:07:00Z</dcterms:created>
  <dcterms:modified xsi:type="dcterms:W3CDTF">2025-04-15T07:16:00Z</dcterms:modified>
</cp:coreProperties>
</file>